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面向移动机器人的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中远距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激光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传感器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模组关键技术研发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先进制造与自动化</w:t>
      </w:r>
      <w:r>
        <w:rPr>
          <w:rFonts w:hint="eastAsia" w:ascii="仿宋_GB2312" w:hAnsi="仿宋_GB2312" w:eastAsia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机器人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cs="仿宋_GB2312"/>
          <w:lang w:val="en-US" w:eastAsia="zh-CN"/>
        </w:rPr>
        <w:t>高精度</w:t>
      </w:r>
      <w:r>
        <w:rPr>
          <w:rFonts w:hint="eastAsia" w:ascii="仿宋_GB2312" w:hAnsi="仿宋_GB2312" w:eastAsia="仿宋_GB2312" w:cs="仿宋_GB2312"/>
        </w:rPr>
        <w:t>低成本中远距离激光传感器模组结构设计；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（二）激光传感器模组光斑定位算法研究；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（三）激光传感器模组自动化标定算法与软件开发。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测量半径</w:t>
      </w:r>
      <w:r>
        <w:rPr>
          <w:rFonts w:hint="eastAsia" w:ascii="仿宋_GB2312" w:hAnsi="仿宋_GB2312" w:eastAsia="仿宋_GB2312" w:cs="仿宋_GB2312"/>
          <w:lang w:val="en-US" w:eastAsia="zh-CN"/>
        </w:rPr>
        <w:t>＞</w:t>
      </w:r>
      <w:r>
        <w:rPr>
          <w:rFonts w:hint="eastAsia" w:ascii="仿宋_GB2312" w:hAnsi="仿宋_GB2312" w:cs="仿宋_GB2312"/>
          <w:lang w:val="en-US" w:eastAsia="zh-CN"/>
        </w:rPr>
        <w:t>28m；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测量采样频率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cs="仿宋_GB2312"/>
          <w:lang w:val="en-US" w:eastAsia="zh-CN"/>
        </w:rPr>
        <w:t>16000Hz，扫描频率范围：5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cs="仿宋_GB2312"/>
          <w:lang w:val="en-US" w:eastAsia="zh-CN"/>
        </w:rPr>
        <w:t>16Hz；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扫描角度：0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cs="仿宋_GB2312"/>
          <w:lang w:val="en-US" w:eastAsia="zh-CN"/>
        </w:rPr>
        <w:t>360°；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角度分辨率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0.3°；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测距精度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1%被测距离。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131EA"/>
    <w:rsid w:val="75C1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2019-07-16T08:13:00Z</dcterms:created>
  <dc:creator>张智勇</dc:creator>
  <cp:lastModifiedBy>张智勇</cp:lastModifiedBy>
  <dcterms:modified xsi:type="dcterms:W3CDTF">2019-07-16T08:14:04Z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